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left"/>
        <w:rPr>
          <w:b w:val="1"/>
          <w:color w:val="202124"/>
          <w:sz w:val="24"/>
          <w:szCs w:val="24"/>
        </w:rPr>
      </w:pPr>
      <w:r w:rsidDel="00000000" w:rsidR="00000000" w:rsidRPr="00000000">
        <w:rPr>
          <w:rtl w:val="0"/>
        </w:rPr>
      </w:r>
    </w:p>
    <w:p w:rsidR="00000000" w:rsidDel="00000000" w:rsidP="00000000" w:rsidRDefault="00000000" w:rsidRPr="00000000" w14:paraId="00000002">
      <w:pPr>
        <w:ind w:left="720" w:firstLine="0"/>
        <w:jc w:val="center"/>
        <w:rPr>
          <w:b w:val="1"/>
          <w:color w:val="202124"/>
          <w:sz w:val="24"/>
          <w:szCs w:val="24"/>
        </w:rPr>
      </w:pPr>
      <w:r w:rsidDel="00000000" w:rsidR="00000000" w:rsidRPr="00000000">
        <w:rPr>
          <w:rtl w:val="0"/>
        </w:rPr>
      </w:r>
    </w:p>
    <w:p w:rsidR="00000000" w:rsidDel="00000000" w:rsidP="00000000" w:rsidRDefault="00000000" w:rsidRPr="00000000" w14:paraId="00000003">
      <w:pPr>
        <w:spacing w:after="220" w:lineRule="auto"/>
        <w:jc w:val="center"/>
        <w:rPr>
          <w:b w:val="1"/>
          <w:color w:val="202124"/>
          <w:sz w:val="29"/>
          <w:szCs w:val="29"/>
        </w:rPr>
      </w:pPr>
      <w:r w:rsidDel="00000000" w:rsidR="00000000" w:rsidRPr="00000000">
        <w:rPr>
          <w:b w:val="1"/>
          <w:color w:val="202124"/>
          <w:sz w:val="29"/>
          <w:szCs w:val="29"/>
          <w:rtl w:val="0"/>
        </w:rPr>
        <w:t xml:space="preserve"> LA MIOPÍA Y SU PROYECCIÓN PARA 2050 SI NO ES ATENDIDA</w:t>
      </w:r>
    </w:p>
    <w:p w:rsidR="00000000" w:rsidDel="00000000" w:rsidP="00000000" w:rsidRDefault="00000000" w:rsidRPr="00000000" w14:paraId="00000004">
      <w:pPr>
        <w:jc w:val="center"/>
        <w:rPr>
          <w:i w:val="1"/>
          <w:color w:val="202124"/>
          <w:highlight w:val="white"/>
        </w:rPr>
      </w:pPr>
      <w:r w:rsidDel="00000000" w:rsidR="00000000" w:rsidRPr="00000000">
        <w:rPr>
          <w:rtl w:val="0"/>
        </w:rPr>
      </w:r>
    </w:p>
    <w:p w:rsidR="00000000" w:rsidDel="00000000" w:rsidP="00000000" w:rsidRDefault="00000000" w:rsidRPr="00000000" w14:paraId="00000005">
      <w:pPr>
        <w:jc w:val="center"/>
        <w:rPr>
          <w:i w:val="1"/>
          <w:color w:val="202124"/>
          <w:highlight w:val="white"/>
        </w:rPr>
      </w:pPr>
      <w:r w:rsidDel="00000000" w:rsidR="00000000" w:rsidRPr="00000000">
        <w:rPr>
          <w:i w:val="1"/>
          <w:color w:val="202124"/>
          <w:highlight w:val="white"/>
          <w:rtl w:val="0"/>
        </w:rPr>
        <w:t xml:space="preserve">Estudios revelan que una de cada 10 personas de todo el mundo estará en riesgo de desarrollar ceguera permanente para 2050 si la miopía no es atendida.</w:t>
      </w:r>
    </w:p>
    <w:p w:rsidR="00000000" w:rsidDel="00000000" w:rsidP="00000000" w:rsidRDefault="00000000" w:rsidRPr="00000000" w14:paraId="00000006">
      <w:pPr>
        <w:jc w:val="center"/>
        <w:rPr>
          <w:i w:val="1"/>
          <w:color w:val="202124"/>
          <w:highlight w:val="white"/>
        </w:rPr>
      </w:pPr>
      <w:r w:rsidDel="00000000" w:rsidR="00000000" w:rsidRPr="00000000">
        <w:rPr>
          <w:rtl w:val="0"/>
        </w:rPr>
      </w:r>
    </w:p>
    <w:p w:rsidR="00000000" w:rsidDel="00000000" w:rsidP="00000000" w:rsidRDefault="00000000" w:rsidRPr="00000000" w14:paraId="00000007">
      <w:pPr>
        <w:jc w:val="both"/>
        <w:rPr>
          <w:i w:val="1"/>
          <w:color w:val="202124"/>
          <w:highlight w:val="white"/>
        </w:rPr>
      </w:pPr>
      <w:r w:rsidDel="00000000" w:rsidR="00000000" w:rsidRPr="00000000">
        <w:rPr>
          <w:rtl w:val="0"/>
        </w:rPr>
      </w:r>
    </w:p>
    <w:p w:rsidR="00000000" w:rsidDel="00000000" w:rsidP="00000000" w:rsidRDefault="00000000" w:rsidRPr="00000000" w14:paraId="00000008">
      <w:pPr>
        <w:jc w:val="both"/>
        <w:rPr>
          <w:i w:val="1"/>
          <w:color w:val="202124"/>
          <w:highlight w:val="white"/>
        </w:rPr>
      </w:pPr>
      <w:r w:rsidDel="00000000" w:rsidR="00000000" w:rsidRPr="00000000">
        <w:rPr>
          <w:rtl w:val="0"/>
        </w:rPr>
      </w:r>
    </w:p>
    <w:p w:rsidR="00000000" w:rsidDel="00000000" w:rsidP="00000000" w:rsidRDefault="00000000" w:rsidRPr="00000000" w14:paraId="00000009">
      <w:pPr>
        <w:spacing w:line="276" w:lineRule="auto"/>
        <w:jc w:val="both"/>
        <w:rPr>
          <w:color w:val="202124"/>
        </w:rPr>
      </w:pPr>
      <w:r w:rsidDel="00000000" w:rsidR="00000000" w:rsidRPr="00000000">
        <w:rPr>
          <w:b w:val="1"/>
          <w:color w:val="202124"/>
          <w:rtl w:val="0"/>
        </w:rPr>
        <w:t xml:space="preserve">Ciudad de México, 03</w:t>
      </w:r>
      <w:r w:rsidDel="00000000" w:rsidR="00000000" w:rsidRPr="00000000">
        <w:rPr>
          <w:b w:val="1"/>
          <w:color w:val="202124"/>
          <w:rtl w:val="0"/>
        </w:rPr>
        <w:t xml:space="preserve"> de julio de 202</w:t>
      </w:r>
      <w:r w:rsidDel="00000000" w:rsidR="00000000" w:rsidRPr="00000000">
        <w:rPr>
          <w:b w:val="1"/>
          <w:color w:val="202124"/>
          <w:rtl w:val="0"/>
        </w:rPr>
        <w:t xml:space="preserve">3 -</w:t>
      </w:r>
      <w:r w:rsidDel="00000000" w:rsidR="00000000" w:rsidRPr="00000000">
        <w:rPr>
          <w:color w:val="202124"/>
          <w:rtl w:val="0"/>
        </w:rPr>
        <w:t xml:space="preserve"> En los últimos años, </w:t>
      </w:r>
      <w:hyperlink r:id="rId6">
        <w:r w:rsidDel="00000000" w:rsidR="00000000" w:rsidRPr="00000000">
          <w:rPr>
            <w:color w:val="1155cc"/>
            <w:u w:val="single"/>
            <w:rtl w:val="0"/>
          </w:rPr>
          <w:t xml:space="preserve">diversos estudios</w:t>
        </w:r>
      </w:hyperlink>
      <w:r w:rsidDel="00000000" w:rsidR="00000000" w:rsidRPr="00000000">
        <w:rPr>
          <w:color w:val="202124"/>
          <w:rtl w:val="0"/>
        </w:rPr>
        <w:t xml:space="preserve"> científicos han observado un aumento en la prevalencia de la miopía alrededor del mundo, llegando a registrar niveles de hasta 90% de prevalencia en jóvenes.</w:t>
      </w:r>
    </w:p>
    <w:p w:rsidR="00000000" w:rsidDel="00000000" w:rsidP="00000000" w:rsidRDefault="00000000" w:rsidRPr="00000000" w14:paraId="0000000A">
      <w:pPr>
        <w:spacing w:line="276" w:lineRule="auto"/>
        <w:jc w:val="both"/>
        <w:rPr>
          <w:color w:val="202124"/>
        </w:rPr>
      </w:pPr>
      <w:r w:rsidDel="00000000" w:rsidR="00000000" w:rsidRPr="00000000">
        <w:rPr>
          <w:rtl w:val="0"/>
        </w:rPr>
      </w:r>
    </w:p>
    <w:p w:rsidR="00000000" w:rsidDel="00000000" w:rsidP="00000000" w:rsidRDefault="00000000" w:rsidRPr="00000000" w14:paraId="0000000B">
      <w:pPr>
        <w:spacing w:line="276" w:lineRule="auto"/>
        <w:jc w:val="both"/>
        <w:rPr>
          <w:color w:val="202124"/>
        </w:rPr>
      </w:pPr>
      <w:r w:rsidDel="00000000" w:rsidR="00000000" w:rsidRPr="00000000">
        <w:rPr>
          <w:color w:val="202124"/>
          <w:rtl w:val="0"/>
        </w:rPr>
        <w:t xml:space="preserve">Esta cifra es sumamente alarmante, ya que estos mismos estiman que para 2050 aproximadamente el 50% de la población mundial padecerá miopía en alguno de sus niveles y 1 de cada 10 correrá con el riesgo de desarrollar ceguera permanente a causa de esta.</w:t>
      </w:r>
    </w:p>
    <w:p w:rsidR="00000000" w:rsidDel="00000000" w:rsidP="00000000" w:rsidRDefault="00000000" w:rsidRPr="00000000" w14:paraId="0000000C">
      <w:pPr>
        <w:spacing w:line="276" w:lineRule="auto"/>
        <w:jc w:val="both"/>
        <w:rPr>
          <w:color w:val="1c1e21"/>
        </w:rPr>
      </w:pPr>
      <w:r w:rsidDel="00000000" w:rsidR="00000000" w:rsidRPr="00000000">
        <w:rPr>
          <w:rtl w:val="0"/>
        </w:rPr>
      </w:r>
    </w:p>
    <w:p w:rsidR="00000000" w:rsidDel="00000000" w:rsidP="00000000" w:rsidRDefault="00000000" w:rsidRPr="00000000" w14:paraId="0000000D">
      <w:pPr>
        <w:spacing w:line="276" w:lineRule="auto"/>
        <w:jc w:val="both"/>
        <w:rPr>
          <w:color w:val="1c1e21"/>
        </w:rPr>
      </w:pPr>
      <w:r w:rsidDel="00000000" w:rsidR="00000000" w:rsidRPr="00000000">
        <w:rPr>
          <w:color w:val="1c1e21"/>
          <w:rtl w:val="0"/>
        </w:rPr>
        <w:t xml:space="preserve">Esto no solo podría generar costos exorbitantes para la salud pública, sobre todo porque la miopía también está asociada a otras enfermedades oculares como el desprendimiento de retina, glaucoma o degeneraciones de la retina relacionadas con la gravedad de la miopía.</w:t>
      </w:r>
    </w:p>
    <w:p w:rsidR="00000000" w:rsidDel="00000000" w:rsidP="00000000" w:rsidRDefault="00000000" w:rsidRPr="00000000" w14:paraId="0000000E">
      <w:pPr>
        <w:spacing w:line="276" w:lineRule="auto"/>
        <w:jc w:val="both"/>
        <w:rPr>
          <w:color w:val="1c1e21"/>
        </w:rPr>
      </w:pPr>
      <w:r w:rsidDel="00000000" w:rsidR="00000000" w:rsidRPr="00000000">
        <w:rPr>
          <w:rtl w:val="0"/>
        </w:rPr>
      </w:r>
    </w:p>
    <w:p w:rsidR="00000000" w:rsidDel="00000000" w:rsidP="00000000" w:rsidRDefault="00000000" w:rsidRPr="00000000" w14:paraId="0000000F">
      <w:pPr>
        <w:spacing w:line="276" w:lineRule="auto"/>
        <w:jc w:val="both"/>
        <w:rPr>
          <w:color w:val="1c1e21"/>
        </w:rPr>
      </w:pPr>
      <w:r w:rsidDel="00000000" w:rsidR="00000000" w:rsidRPr="00000000">
        <w:rPr>
          <w:color w:val="1c1e21"/>
          <w:rtl w:val="0"/>
        </w:rPr>
        <w:t xml:space="preserve">Se ha demostrado que el crecimiento ocular y el avance de la miopía en la niñez varía en función de la época del año, teniendo efectos más lentos en verano, cuando se tiene la oportunidad de pasar más tiempo al aire libre y más rápidos durante el invierno, cuando la luz ambiental es menor.</w:t>
      </w:r>
    </w:p>
    <w:p w:rsidR="00000000" w:rsidDel="00000000" w:rsidP="00000000" w:rsidRDefault="00000000" w:rsidRPr="00000000" w14:paraId="00000010">
      <w:pPr>
        <w:spacing w:line="276" w:lineRule="auto"/>
        <w:jc w:val="both"/>
        <w:rPr>
          <w:color w:val="1c1e21"/>
        </w:rPr>
      </w:pPr>
      <w:r w:rsidDel="00000000" w:rsidR="00000000" w:rsidRPr="00000000">
        <w:rPr>
          <w:rtl w:val="0"/>
        </w:rPr>
      </w:r>
    </w:p>
    <w:p w:rsidR="00000000" w:rsidDel="00000000" w:rsidP="00000000" w:rsidRDefault="00000000" w:rsidRPr="00000000" w14:paraId="00000011">
      <w:pPr>
        <w:shd w:fill="ffffff" w:val="clear"/>
        <w:spacing w:line="276" w:lineRule="auto"/>
        <w:jc w:val="both"/>
        <w:rPr>
          <w:color w:val="1c1e21"/>
        </w:rPr>
      </w:pPr>
      <w:r w:rsidDel="00000000" w:rsidR="00000000" w:rsidRPr="00000000">
        <w:rPr>
          <w:color w:val="1c1e21"/>
          <w:rtl w:val="0"/>
        </w:rPr>
        <w:t xml:space="preserve">Como padres de familia, es indispensable cuidar la salud ocular y visual de nuestros hijos, ya que al detectar problemas visuales desde temprana edad se puede evitar no solo gastos mayores, sino que también secuelas que pongan en riesgo la salud del ojo y de la vista de tus hijos. Por esto, es indispensable acudir a un especialista a la más mínima señal de problemas visuales.</w:t>
      </w:r>
    </w:p>
    <w:p w:rsidR="00000000" w:rsidDel="00000000" w:rsidP="00000000" w:rsidRDefault="00000000" w:rsidRPr="00000000" w14:paraId="00000012">
      <w:pPr>
        <w:shd w:fill="ffffff" w:val="clear"/>
        <w:spacing w:line="276" w:lineRule="auto"/>
        <w:jc w:val="both"/>
        <w:rPr>
          <w:color w:val="1c1e21"/>
        </w:rPr>
      </w:pPr>
      <w:r w:rsidDel="00000000" w:rsidR="00000000" w:rsidRPr="00000000">
        <w:rPr>
          <w:rtl w:val="0"/>
        </w:rPr>
      </w:r>
    </w:p>
    <w:p w:rsidR="00000000" w:rsidDel="00000000" w:rsidP="00000000" w:rsidRDefault="00000000" w:rsidRPr="00000000" w14:paraId="00000013">
      <w:pPr>
        <w:shd w:fill="ffffff" w:val="clear"/>
        <w:spacing w:line="276" w:lineRule="auto"/>
        <w:jc w:val="both"/>
        <w:rPr>
          <w:color w:val="1c1e21"/>
        </w:rPr>
      </w:pPr>
      <w:r w:rsidDel="00000000" w:rsidR="00000000" w:rsidRPr="00000000">
        <w:rPr>
          <w:color w:val="1c1e21"/>
          <w:rtl w:val="0"/>
        </w:rPr>
        <w:t xml:space="preserve">Una vez teniendo el diagnóstico correcto, el profesional de la visión hará sus recomendaciones adecuadas a cada necesidad del paciente, y como recomendación un diagnóstico anual como mínimo.</w:t>
      </w:r>
    </w:p>
    <w:p w:rsidR="00000000" w:rsidDel="00000000" w:rsidP="00000000" w:rsidRDefault="00000000" w:rsidRPr="00000000" w14:paraId="00000014">
      <w:pPr>
        <w:spacing w:line="276" w:lineRule="auto"/>
        <w:jc w:val="both"/>
        <w:rPr>
          <w:color w:val="202124"/>
        </w:rPr>
      </w:pPr>
      <w:r w:rsidDel="00000000" w:rsidR="00000000" w:rsidRPr="00000000">
        <w:rPr>
          <w:rtl w:val="0"/>
        </w:rPr>
      </w:r>
    </w:p>
    <w:p w:rsidR="00000000" w:rsidDel="00000000" w:rsidP="00000000" w:rsidRDefault="00000000" w:rsidRPr="00000000" w14:paraId="00000015">
      <w:pPr>
        <w:shd w:fill="ffffff" w:val="clear"/>
        <w:spacing w:line="276" w:lineRule="auto"/>
        <w:jc w:val="both"/>
        <w:rPr>
          <w:color w:val="1c1e21"/>
        </w:rPr>
      </w:pPr>
      <w:r w:rsidDel="00000000" w:rsidR="00000000" w:rsidRPr="00000000">
        <w:rPr>
          <w:b w:val="1"/>
          <w:color w:val="1c1e21"/>
          <w:rtl w:val="0"/>
        </w:rPr>
        <w:t xml:space="preserve">Essilor®</w:t>
      </w:r>
      <w:r w:rsidDel="00000000" w:rsidR="00000000" w:rsidRPr="00000000">
        <w:rPr>
          <w:color w:val="1c1e21"/>
          <w:rtl w:val="0"/>
        </w:rPr>
        <w:t xml:space="preserve"> ha desarrollado la línea </w:t>
      </w:r>
      <w:r w:rsidDel="00000000" w:rsidR="00000000" w:rsidRPr="00000000">
        <w:rPr>
          <w:b w:val="1"/>
          <w:color w:val="1c1e21"/>
          <w:rtl w:val="0"/>
        </w:rPr>
        <w:t xml:space="preserve">Essilor</w:t>
      </w:r>
      <w:r w:rsidDel="00000000" w:rsidR="00000000" w:rsidRPr="00000000">
        <w:rPr>
          <w:color w:val="1c1e21"/>
          <w:rtl w:val="0"/>
        </w:rPr>
        <w:t xml:space="preserve"> </w:t>
      </w:r>
      <w:r w:rsidDel="00000000" w:rsidR="00000000" w:rsidRPr="00000000">
        <w:rPr>
          <w:b w:val="1"/>
          <w:color w:val="1c1e21"/>
          <w:rtl w:val="0"/>
        </w:rPr>
        <w:t xml:space="preserve">Stellest™</w:t>
      </w:r>
      <w:r w:rsidDel="00000000" w:rsidR="00000000" w:rsidRPr="00000000">
        <w:rPr>
          <w:color w:val="1c1e21"/>
          <w:rtl w:val="0"/>
        </w:rPr>
        <w:t xml:space="preserve">, los cuales cuentan con la tecnología H.A.L.T (Highly aspherical lenslets target),  única que ayuda a desacelerar la progresión de la miopía infantil hasta en un 67% comparado con lentes monofocales, si se utilizan durante 12 horas al día mínimo, todos los días.</w:t>
      </w:r>
    </w:p>
    <w:p w:rsidR="00000000" w:rsidDel="00000000" w:rsidP="00000000" w:rsidRDefault="00000000" w:rsidRPr="00000000" w14:paraId="00000016">
      <w:pPr>
        <w:shd w:fill="ffffff" w:val="clear"/>
        <w:spacing w:line="276" w:lineRule="auto"/>
        <w:jc w:val="both"/>
        <w:rPr>
          <w:color w:val="1c1e21"/>
        </w:rPr>
      </w:pPr>
      <w:r w:rsidDel="00000000" w:rsidR="00000000" w:rsidRPr="00000000">
        <w:rPr>
          <w:rtl w:val="0"/>
        </w:rPr>
      </w:r>
    </w:p>
    <w:p w:rsidR="00000000" w:rsidDel="00000000" w:rsidP="00000000" w:rsidRDefault="00000000" w:rsidRPr="00000000" w14:paraId="00000017">
      <w:pPr>
        <w:shd w:fill="ffffff" w:val="clear"/>
        <w:spacing w:line="276" w:lineRule="auto"/>
        <w:jc w:val="both"/>
        <w:rPr>
          <w:color w:val="1c1e21"/>
        </w:rPr>
      </w:pPr>
      <w:r w:rsidDel="00000000" w:rsidR="00000000" w:rsidRPr="00000000">
        <w:rPr>
          <w:color w:val="1c1e21"/>
          <w:rtl w:val="0"/>
        </w:rPr>
        <w:t xml:space="preserve">Esta tecnología está basada en una constelación única de microlentes contiguos, que crean una señal de volumen de luz no enfocada delante de la retina, en el ojo, controlando así la elongación ocular, es decir, el crecimiento ocular. Este volumen permite controlar el alargamiento del ojo a través de una intervención óptica estética, segura y sencilla.</w:t>
      </w:r>
    </w:p>
    <w:p w:rsidR="00000000" w:rsidDel="00000000" w:rsidP="00000000" w:rsidRDefault="00000000" w:rsidRPr="00000000" w14:paraId="00000018">
      <w:pPr>
        <w:shd w:fill="ffffff" w:val="clear"/>
        <w:spacing w:line="276" w:lineRule="auto"/>
        <w:jc w:val="both"/>
        <w:rPr>
          <w:color w:val="1c1e21"/>
        </w:rPr>
      </w:pPr>
      <w:r w:rsidDel="00000000" w:rsidR="00000000" w:rsidRPr="00000000">
        <w:rPr>
          <w:rtl w:val="0"/>
        </w:rPr>
      </w:r>
    </w:p>
    <w:p w:rsidR="00000000" w:rsidDel="00000000" w:rsidP="00000000" w:rsidRDefault="00000000" w:rsidRPr="00000000" w14:paraId="00000019">
      <w:pPr>
        <w:shd w:fill="ffffff" w:val="clear"/>
        <w:spacing w:line="276" w:lineRule="auto"/>
        <w:jc w:val="both"/>
        <w:rPr>
          <w:color w:val="1c1e21"/>
        </w:rPr>
      </w:pPr>
      <w:r w:rsidDel="00000000" w:rsidR="00000000" w:rsidRPr="00000000">
        <w:rPr>
          <w:color w:val="1c1e21"/>
          <w:rtl w:val="0"/>
        </w:rPr>
        <w:t xml:space="preserve">Por su parte, las lentes</w:t>
      </w:r>
      <w:r w:rsidDel="00000000" w:rsidR="00000000" w:rsidRPr="00000000">
        <w:rPr>
          <w:b w:val="1"/>
          <w:color w:val="1c1e21"/>
          <w:rtl w:val="0"/>
        </w:rPr>
        <w:t xml:space="preserve"> Eyezen® Kids </w:t>
      </w:r>
      <w:r w:rsidDel="00000000" w:rsidR="00000000" w:rsidRPr="00000000">
        <w:rPr>
          <w:color w:val="1c1e21"/>
          <w:rtl w:val="0"/>
        </w:rPr>
        <w:t xml:space="preserve">están diseñadas para dar mejor claridad de la visión, proteger de la luz nociva y proveer una mayor comodidad visual al momento de utilizar dispositivos electrónicos.</w:t>
      </w:r>
    </w:p>
    <w:p w:rsidR="00000000" w:rsidDel="00000000" w:rsidP="00000000" w:rsidRDefault="00000000" w:rsidRPr="00000000" w14:paraId="0000001A">
      <w:pPr>
        <w:shd w:fill="ffffff" w:val="clear"/>
        <w:spacing w:line="276" w:lineRule="auto"/>
        <w:jc w:val="both"/>
        <w:rPr>
          <w:color w:val="1c1e21"/>
        </w:rPr>
      </w:pPr>
      <w:r w:rsidDel="00000000" w:rsidR="00000000" w:rsidRPr="00000000">
        <w:rPr>
          <w:rtl w:val="0"/>
        </w:rPr>
      </w:r>
    </w:p>
    <w:p w:rsidR="00000000" w:rsidDel="00000000" w:rsidP="00000000" w:rsidRDefault="00000000" w:rsidRPr="00000000" w14:paraId="0000001B">
      <w:pPr>
        <w:shd w:fill="ffffff" w:val="clear"/>
        <w:spacing w:line="276" w:lineRule="auto"/>
        <w:jc w:val="both"/>
        <w:rPr>
          <w:b w:val="1"/>
          <w:color w:val="1c1e21"/>
        </w:rPr>
      </w:pPr>
      <w:r w:rsidDel="00000000" w:rsidR="00000000" w:rsidRPr="00000000">
        <w:rPr>
          <w:color w:val="1c1e21"/>
          <w:rtl w:val="0"/>
        </w:rPr>
        <w:t xml:space="preserve">Esta línea cuenta también con la tecnología </w:t>
      </w:r>
      <w:r w:rsidDel="00000000" w:rsidR="00000000" w:rsidRPr="00000000">
        <w:rPr>
          <w:b w:val="1"/>
          <w:color w:val="1c1e21"/>
          <w:rtl w:val="0"/>
        </w:rPr>
        <w:t xml:space="preserve">Eyezen® DualOptim™ Kids </w:t>
      </w:r>
      <w:r w:rsidDel="00000000" w:rsidR="00000000" w:rsidRPr="00000000">
        <w:rPr>
          <w:color w:val="1c1e21"/>
          <w:rtl w:val="0"/>
        </w:rPr>
        <w:t xml:space="preserve">que proporciona campos visuales más amplios en una lente más cómoda, brindando una mayor superficie de lente y un campo visual hasta 60% más amplio que el de una lente estándar.</w:t>
      </w:r>
      <w:r w:rsidDel="00000000" w:rsidR="00000000" w:rsidRPr="00000000">
        <w:rPr>
          <w:rtl w:val="0"/>
        </w:rPr>
      </w:r>
    </w:p>
    <w:p w:rsidR="00000000" w:rsidDel="00000000" w:rsidP="00000000" w:rsidRDefault="00000000" w:rsidRPr="00000000" w14:paraId="0000001C">
      <w:pPr>
        <w:spacing w:line="276" w:lineRule="auto"/>
        <w:jc w:val="both"/>
        <w:rPr>
          <w:color w:val="202124"/>
        </w:rPr>
      </w:pPr>
      <w:r w:rsidDel="00000000" w:rsidR="00000000" w:rsidRPr="00000000">
        <w:rPr>
          <w:rtl w:val="0"/>
        </w:rPr>
      </w:r>
    </w:p>
    <w:p w:rsidR="00000000" w:rsidDel="00000000" w:rsidP="00000000" w:rsidRDefault="00000000" w:rsidRPr="00000000" w14:paraId="0000001D">
      <w:pPr>
        <w:shd w:fill="ffffff" w:val="clear"/>
        <w:spacing w:line="276" w:lineRule="auto"/>
        <w:jc w:val="both"/>
        <w:rPr>
          <w:color w:val="1c1e21"/>
        </w:rPr>
      </w:pPr>
      <w:r w:rsidDel="00000000" w:rsidR="00000000" w:rsidRPr="00000000">
        <w:rPr>
          <w:color w:val="1c1e21"/>
          <w:rtl w:val="0"/>
        </w:rPr>
        <w:t xml:space="preserve">Si deseas conocer más sobre la miopía infantil, acude a un especialista para conocer más información, efectuar un diagnóstico adecuado y mejorar la calidad de vida visual de tus hijos.</w:t>
      </w:r>
    </w:p>
    <w:p w:rsidR="00000000" w:rsidDel="00000000" w:rsidP="00000000" w:rsidRDefault="00000000" w:rsidRPr="00000000" w14:paraId="0000001E">
      <w:pPr>
        <w:spacing w:line="276" w:lineRule="auto"/>
        <w:jc w:val="both"/>
        <w:rPr>
          <w:color w:val="202124"/>
        </w:rPr>
      </w:pPr>
      <w:r w:rsidDel="00000000" w:rsidR="00000000" w:rsidRPr="00000000">
        <w:rPr>
          <w:rtl w:val="0"/>
        </w:rPr>
      </w:r>
    </w:p>
    <w:p w:rsidR="00000000" w:rsidDel="00000000" w:rsidP="00000000" w:rsidRDefault="00000000" w:rsidRPr="00000000" w14:paraId="0000001F">
      <w:pPr>
        <w:shd w:fill="ffffff" w:val="clear"/>
        <w:spacing w:line="276" w:lineRule="auto"/>
        <w:jc w:val="both"/>
        <w:rPr>
          <w:color w:val="1155cc"/>
          <w:u w:val="single"/>
        </w:rPr>
      </w:pPr>
      <w:r w:rsidDel="00000000" w:rsidR="00000000" w:rsidRPr="00000000">
        <w:rPr>
          <w:color w:val="1c1e21"/>
          <w:rtl w:val="0"/>
        </w:rPr>
        <w:t xml:space="preserve">Descubre más sobre </w:t>
      </w:r>
      <w:r w:rsidDel="00000000" w:rsidR="00000000" w:rsidRPr="00000000">
        <w:rPr>
          <w:b w:val="1"/>
          <w:color w:val="1c1e21"/>
          <w:rtl w:val="0"/>
        </w:rPr>
        <w:t xml:space="preserve">Essilor®</w:t>
      </w:r>
      <w:r w:rsidDel="00000000" w:rsidR="00000000" w:rsidRPr="00000000">
        <w:rPr>
          <w:color w:val="1c1e21"/>
          <w:rtl w:val="0"/>
        </w:rPr>
        <w:t xml:space="preserve"> en el sitio web</w:t>
      </w:r>
      <w:hyperlink r:id="rId7">
        <w:r w:rsidDel="00000000" w:rsidR="00000000" w:rsidRPr="00000000">
          <w:rPr>
            <w:color w:val="1c1e21"/>
            <w:rtl w:val="0"/>
          </w:rPr>
          <w:t xml:space="preserve"> </w:t>
        </w:r>
      </w:hyperlink>
      <w:hyperlink r:id="rId8">
        <w:r w:rsidDel="00000000" w:rsidR="00000000" w:rsidRPr="00000000">
          <w:rPr>
            <w:color w:val="1155cc"/>
            <w:u w:val="single"/>
            <w:rtl w:val="0"/>
          </w:rPr>
          <w:t xml:space="preserve">global.essilor.com/mx.</w:t>
        </w:r>
      </w:hyperlink>
      <w:r w:rsidDel="00000000" w:rsidR="00000000" w:rsidRPr="00000000">
        <w:rPr>
          <w:rtl w:val="0"/>
        </w:rPr>
      </w:r>
    </w:p>
    <w:p w:rsidR="00000000" w:rsidDel="00000000" w:rsidP="00000000" w:rsidRDefault="00000000" w:rsidRPr="00000000" w14:paraId="00000020">
      <w:pPr>
        <w:shd w:fill="ffffff" w:val="clear"/>
        <w:spacing w:line="375.6528"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21">
      <w:pPr>
        <w:jc w:val="both"/>
        <w:rPr>
          <w:color w:val="1c1e21"/>
        </w:rPr>
      </w:pPr>
      <w:r w:rsidDel="00000000" w:rsidR="00000000" w:rsidRPr="00000000">
        <w:rPr>
          <w:rtl w:val="0"/>
        </w:rPr>
      </w:r>
    </w:p>
    <w:p w:rsidR="00000000" w:rsidDel="00000000" w:rsidP="00000000" w:rsidRDefault="00000000" w:rsidRPr="00000000" w14:paraId="00000022">
      <w:pPr>
        <w:shd w:fill="ffffff" w:val="clear"/>
        <w:spacing w:line="313.04347826086956" w:lineRule="auto"/>
        <w:jc w:val="both"/>
        <w:rPr>
          <w:color w:val="1c1e21"/>
        </w:rPr>
      </w:pPr>
      <w:r w:rsidDel="00000000" w:rsidR="00000000" w:rsidRPr="00000000">
        <w:rPr>
          <w:rtl w:val="0"/>
        </w:rPr>
      </w:r>
    </w:p>
    <w:p w:rsidR="00000000" w:rsidDel="00000000" w:rsidP="00000000" w:rsidRDefault="00000000" w:rsidRPr="00000000" w14:paraId="00000023">
      <w:pPr>
        <w:shd w:fill="ffffff" w:val="clear"/>
        <w:spacing w:line="313.04347826086956" w:lineRule="auto"/>
        <w:jc w:val="both"/>
        <w:rPr>
          <w:b w:val="1"/>
          <w:sz w:val="20"/>
          <w:szCs w:val="20"/>
        </w:rPr>
      </w:pPr>
      <w:r w:rsidDel="00000000" w:rsidR="00000000" w:rsidRPr="00000000">
        <w:rPr>
          <w:b w:val="1"/>
          <w:sz w:val="20"/>
          <w:szCs w:val="20"/>
          <w:rtl w:val="0"/>
        </w:rPr>
        <w:t xml:space="preserve">Acerca de EssilorLuxottica</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EssilorLuxottica es líder mundial en el diseño, fabricación y distribución de lentes oftálmicas, monturas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www.essilorluxottica.com.</w:t>
      </w:r>
    </w:p>
    <w:p w:rsidR="00000000" w:rsidDel="00000000" w:rsidP="00000000" w:rsidRDefault="00000000" w:rsidRPr="00000000" w14:paraId="00000025">
      <w:pPr>
        <w:jc w:val="both"/>
        <w:rPr>
          <w:sz w:val="12"/>
          <w:szCs w:val="12"/>
        </w:rPr>
      </w:pPr>
      <w:r w:rsidDel="00000000" w:rsidR="00000000" w:rsidRPr="00000000">
        <w:rPr>
          <w:rtl w:val="0"/>
        </w:rPr>
      </w:r>
    </w:p>
    <w:p w:rsidR="00000000" w:rsidDel="00000000" w:rsidP="00000000" w:rsidRDefault="00000000" w:rsidRPr="00000000" w14:paraId="00000026">
      <w:pPr>
        <w:jc w:val="both"/>
        <w:rPr>
          <w:sz w:val="15"/>
          <w:szCs w:val="15"/>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b w:val="1"/>
          <w:rtl w:val="0"/>
        </w:rPr>
        <w:t xml:space="preserve">Contacto para medios</w:t>
      </w:r>
    </w:p>
    <w:p w:rsidR="00000000" w:rsidDel="00000000" w:rsidP="00000000" w:rsidRDefault="00000000" w:rsidRPr="00000000" w14:paraId="00000028">
      <w:pPr>
        <w:shd w:fill="ffffff" w:val="clear"/>
        <w:jc w:val="both"/>
        <w:rPr>
          <w:color w:val="222222"/>
        </w:rPr>
      </w:pPr>
      <w:r w:rsidDel="00000000" w:rsidR="00000000" w:rsidRPr="00000000">
        <w:rPr>
          <w:color w:val="222222"/>
          <w:rtl w:val="0"/>
        </w:rPr>
        <w:t xml:space="preserve">Víctor Sánchez</w:t>
      </w:r>
    </w:p>
    <w:p w:rsidR="00000000" w:rsidDel="00000000" w:rsidP="00000000" w:rsidRDefault="00000000" w:rsidRPr="00000000" w14:paraId="00000029">
      <w:pPr>
        <w:shd w:fill="ffffff" w:val="clear"/>
        <w:jc w:val="both"/>
        <w:rPr>
          <w:color w:val="222222"/>
        </w:rPr>
      </w:pPr>
      <w:r w:rsidDel="00000000" w:rsidR="00000000" w:rsidRPr="00000000">
        <w:rPr>
          <w:color w:val="222222"/>
          <w:rtl w:val="0"/>
        </w:rPr>
        <w:t xml:space="preserve">Account Executive</w:t>
      </w:r>
    </w:p>
    <w:p w:rsidR="00000000" w:rsidDel="00000000" w:rsidP="00000000" w:rsidRDefault="00000000" w:rsidRPr="00000000" w14:paraId="0000002A">
      <w:pPr>
        <w:shd w:fill="ffffff" w:val="clear"/>
        <w:jc w:val="both"/>
        <w:rPr>
          <w:color w:val="202124"/>
        </w:rPr>
      </w:pPr>
      <w:r w:rsidDel="00000000" w:rsidR="00000000" w:rsidRPr="00000000">
        <w:rPr>
          <w:color w:val="1155cc"/>
          <w:u w:val="single"/>
          <w:rtl w:val="0"/>
        </w:rPr>
        <w:t xml:space="preserve">victor.sanchez@another.co</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7239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9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rive.google.com/file/d/1Zl2GYMgMB_oq_95_-k1fDmGA0Jl1RluB/view?pli=1" TargetMode="External"/><Relationship Id="rId7" Type="http://schemas.openxmlformats.org/officeDocument/2006/relationships/hyperlink" Target="https://global.essilor.com/mx" TargetMode="External"/><Relationship Id="rId8" Type="http://schemas.openxmlformats.org/officeDocument/2006/relationships/hyperlink" Target="https://global.essilor.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